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02C" w:rsidRDefault="00B74AF6">
      <w:pPr>
        <w:suppressAutoHyphens/>
        <w:spacing w:after="0" w:line="240" w:lineRule="auto"/>
        <w:ind w:left="709" w:right="142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ФЕДЕРАЛЬНОЕ ГОСУДАРСТВЕННОЕ БЮДЖЕТНОЕ</w:t>
      </w:r>
    </w:p>
    <w:p w:rsidR="0077002C" w:rsidRDefault="00B74AF6">
      <w:pPr>
        <w:suppressAutoHyphens/>
        <w:spacing w:after="0" w:line="240" w:lineRule="auto"/>
        <w:ind w:left="709" w:right="142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ОБРАЗОВАТЕЛЬНОЕ УЧРЕЖДЕНИЕ ВЫСШЕГО ОБРАЗОВАНИЯ</w:t>
      </w:r>
    </w:p>
    <w:p w:rsidR="0077002C" w:rsidRDefault="00B74AF6">
      <w:pPr>
        <w:suppressAutoHyphens/>
        <w:spacing w:after="0" w:line="240" w:lineRule="auto"/>
        <w:ind w:left="709" w:right="142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«КУБАНСКИЙ ГОСУДАРСТВЕННЫЙ МЕДИЦИНСКИЙ УНИВЕРСИТЕТ»</w:t>
      </w:r>
    </w:p>
    <w:p w:rsidR="0077002C" w:rsidRDefault="00B74AF6">
      <w:pPr>
        <w:widowControl w:val="0"/>
        <w:autoSpaceDE w:val="0"/>
        <w:autoSpaceDN w:val="0"/>
        <w:spacing w:after="0" w:line="240" w:lineRule="auto"/>
        <w:ind w:left="709" w:right="142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4"/>
          <w:szCs w:val="24"/>
        </w:rPr>
        <w:t>МИНИСТЕРСТВА ЗДРАВООХРАНЕНИЯ РОССИЙСКОЙ ФЕДЕРАЦИИ</w:t>
      </w:r>
    </w:p>
    <w:p w:rsidR="0077002C" w:rsidRDefault="0077002C">
      <w:pPr>
        <w:widowControl w:val="0"/>
        <w:autoSpaceDE w:val="0"/>
        <w:autoSpaceDN w:val="0"/>
        <w:spacing w:after="0" w:line="240" w:lineRule="auto"/>
        <w:ind w:left="709"/>
        <w:jc w:val="center"/>
        <w:rPr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77002C" w:rsidRDefault="00B74AF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77002C" w:rsidRDefault="00B74AF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77002C" w:rsidRDefault="00B74AF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 xml:space="preserve">промежуточной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77002C" w:rsidRDefault="00B74AF6">
      <w:pPr>
        <w:widowControl w:val="0"/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b/>
          <w:i/>
          <w:iCs/>
          <w:spacing w:val="-1"/>
          <w:w w:val="115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1"/>
          <w:w w:val="115"/>
          <w:sz w:val="24"/>
          <w:szCs w:val="24"/>
        </w:rPr>
        <w:t>Выполнение медицинских манипуляций</w:t>
      </w:r>
    </w:p>
    <w:p w:rsidR="0077002C" w:rsidRDefault="00B74AF6">
      <w:pPr>
        <w:widowControl w:val="0"/>
        <w:autoSpaceDE w:val="0"/>
        <w:autoSpaceDN w:val="0"/>
        <w:spacing w:after="0" w:line="240" w:lineRule="auto"/>
        <w:ind w:left="709"/>
        <w:jc w:val="center"/>
        <w:rPr>
          <w:rFonts w:ascii="Times New Roman" w:hAnsi="Times New Roman"/>
          <w:b/>
          <w:i/>
          <w:iCs/>
          <w:spacing w:val="-1"/>
          <w:w w:val="115"/>
          <w:sz w:val="24"/>
          <w:szCs w:val="24"/>
        </w:rPr>
      </w:pPr>
      <w:r>
        <w:rPr>
          <w:rFonts w:ascii="Times New Roman" w:hAnsi="Times New Roman"/>
          <w:b/>
          <w:i/>
          <w:iCs/>
          <w:spacing w:val="-1"/>
          <w:w w:val="115"/>
          <w:sz w:val="24"/>
          <w:szCs w:val="24"/>
        </w:rPr>
        <w:t>при оказании медицинской помощи</w:t>
      </w:r>
    </w:p>
    <w:p w:rsidR="0077002C" w:rsidRDefault="00B74AF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664AE7CE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77002C" w:rsidRDefault="00B74AF6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77002C" w:rsidRDefault="00B74AF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Cs/>
          <w:sz w:val="24"/>
          <w:szCs w:val="24"/>
        </w:rPr>
      </w:pPr>
    </w:p>
    <w:p w:rsidR="0077002C" w:rsidRDefault="00B74AF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31.02.01 Лечебное дело</w:t>
      </w:r>
    </w:p>
    <w:p w:rsidR="0077002C" w:rsidRDefault="00B74AF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u w:val="single" w:color="1F1F1F"/>
        </w:rPr>
      </w:pPr>
      <w:r>
        <w:rPr>
          <w:rFonts w:ascii="Times New Roman" w:hAnsi="Times New Roman"/>
          <w:sz w:val="24"/>
          <w:szCs w:val="24"/>
          <w:u w:val="single" w:color="1F1F1F"/>
        </w:rPr>
        <w:t>квалификация: фельдшер,</w:t>
      </w:r>
    </w:p>
    <w:p w:rsidR="0077002C" w:rsidRDefault="00B74AF6">
      <w:pPr>
        <w:widowControl w:val="0"/>
        <w:tabs>
          <w:tab w:val="left" w:pos="957"/>
          <w:tab w:val="left" w:pos="4051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 w:color="1F1F1F"/>
        </w:rPr>
        <w:t>на базе среднего общего образования программа: 2 года 10 месяцев</w:t>
      </w: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77002C" w:rsidRDefault="00B74AF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форма обучения</w:t>
      </w:r>
    </w:p>
    <w:p w:rsidR="0077002C" w:rsidRDefault="00B74AF6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w w:val="90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очная</w:t>
      </w:r>
    </w:p>
    <w:p w:rsidR="0077002C" w:rsidRDefault="0077002C">
      <w:pPr>
        <w:suppressAutoHyphens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7002C" w:rsidRDefault="00B74AF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программа, реализуется ФГБОУ ВО КубГМУ Минздрава России по направлению подготовки 33.02.01 Фармация (уровень среднего профессионального образования), утвержденного приказом Министерства просвещения Российской Федерации от 13 июля 2021 г., № 449, професси</w:t>
      </w:r>
      <w:r>
        <w:rPr>
          <w:rFonts w:ascii="Times New Roman" w:hAnsi="Times New Roman"/>
          <w:iCs/>
          <w:sz w:val="24"/>
          <w:szCs w:val="24"/>
        </w:rPr>
        <w:t>о</w:t>
      </w:r>
      <w:r>
        <w:rPr>
          <w:rFonts w:ascii="Times New Roman" w:hAnsi="Times New Roman"/>
          <w:iCs/>
          <w:sz w:val="24"/>
          <w:szCs w:val="24"/>
        </w:rPr>
        <w:t>нального стандарта «Об утверждении профессионального стандарта «Фармацевт», утвержденного приказом Министерства труда и социальной защиты Российской Федерации от 31 мая 2021 г., № 349н.  Рабочая программа составлена с учётом примерной основной образовательной программы (ПООП), утвержденной Приказом № П-41 от 28 февраля 2022 г. Минпросвещения России и ФГБОУ ДПО ИРПО (регистрационный номер 39, протокол ФУМО № 5 от 01 февраля 2022 г.) и учебного плана специальности 33.02.01 Фармация.</w:t>
      </w:r>
    </w:p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7"/>
        <w:gridCol w:w="2393"/>
      </w:tblGrid>
      <w:tr w:rsidR="001C70C6">
        <w:trPr>
          <w:jc w:val="center"/>
        </w:trPr>
        <w:tc>
          <w:tcPr>
            <w:tcW w:w="5607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w w:val="85"/>
                <w:sz w:val="24"/>
                <w:szCs w:val="24"/>
              </w:rPr>
              <w:t>Компетенция</w:t>
            </w:r>
          </w:p>
        </w:tc>
        <w:tc>
          <w:tcPr>
            <w:tcW w:w="2393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Номера</w:t>
            </w:r>
            <w:r>
              <w:rPr>
                <w:rFonts w:ascii="Times New Roman" w:hAnsi="Times New Roman"/>
                <w:spacing w:val="13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заданий</w:t>
            </w:r>
            <w:r>
              <w:rPr>
                <w:rFonts w:ascii="Times New Roman" w:hAnsi="Times New Roman"/>
                <w:spacing w:val="25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pacing w:val="7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тестовой</w:t>
            </w:r>
            <w:r>
              <w:rPr>
                <w:rFonts w:ascii="Times New Roman" w:hAnsi="Times New Roman"/>
                <w:spacing w:val="22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w w:val="95"/>
                <w:sz w:val="24"/>
                <w:szCs w:val="24"/>
              </w:rPr>
              <w:t>форме</w:t>
            </w:r>
          </w:p>
        </w:tc>
      </w:tr>
      <w:tr w:rsidR="001C70C6">
        <w:trPr>
          <w:jc w:val="center"/>
        </w:trPr>
        <w:tc>
          <w:tcPr>
            <w:tcW w:w="5607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01</w:t>
            </w:r>
          </w:p>
        </w:tc>
        <w:tc>
          <w:tcPr>
            <w:tcW w:w="2393" w:type="dxa"/>
            <w:shd w:val="clear" w:color="auto" w:fill="auto"/>
          </w:tcPr>
          <w:p w:rsidR="001C70C6" w:rsidRP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1-4</w:t>
            </w:r>
          </w:p>
        </w:tc>
      </w:tr>
      <w:tr w:rsidR="001C70C6">
        <w:trPr>
          <w:jc w:val="center"/>
        </w:trPr>
        <w:tc>
          <w:tcPr>
            <w:tcW w:w="5607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2393" w:type="dxa"/>
            <w:shd w:val="clear" w:color="auto" w:fill="auto"/>
          </w:tcPr>
          <w:p w:rsidR="001C70C6" w:rsidRP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5-8</w:t>
            </w:r>
          </w:p>
        </w:tc>
      </w:tr>
      <w:tr w:rsidR="001C70C6">
        <w:trPr>
          <w:jc w:val="center"/>
        </w:trPr>
        <w:tc>
          <w:tcPr>
            <w:tcW w:w="5607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04</w:t>
            </w:r>
          </w:p>
        </w:tc>
        <w:tc>
          <w:tcPr>
            <w:tcW w:w="2393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9-12</w:t>
            </w:r>
          </w:p>
        </w:tc>
      </w:tr>
      <w:tr w:rsidR="001C70C6">
        <w:trPr>
          <w:jc w:val="center"/>
        </w:trPr>
        <w:tc>
          <w:tcPr>
            <w:tcW w:w="5607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05</w:t>
            </w:r>
          </w:p>
        </w:tc>
        <w:tc>
          <w:tcPr>
            <w:tcW w:w="2393" w:type="dxa"/>
            <w:shd w:val="clear" w:color="auto" w:fill="auto"/>
          </w:tcPr>
          <w:p w:rsidR="001C70C6" w:rsidRP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13-16</w:t>
            </w:r>
          </w:p>
        </w:tc>
      </w:tr>
      <w:tr w:rsidR="001C70C6">
        <w:trPr>
          <w:jc w:val="center"/>
        </w:trPr>
        <w:tc>
          <w:tcPr>
            <w:tcW w:w="5607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2393" w:type="dxa"/>
            <w:shd w:val="clear" w:color="auto" w:fill="auto"/>
          </w:tcPr>
          <w:p w:rsidR="001C70C6" w:rsidRP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17-19</w:t>
            </w:r>
          </w:p>
        </w:tc>
      </w:tr>
      <w:tr w:rsidR="001C70C6">
        <w:trPr>
          <w:jc w:val="center"/>
        </w:trPr>
        <w:tc>
          <w:tcPr>
            <w:tcW w:w="5607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</w:tc>
        <w:tc>
          <w:tcPr>
            <w:tcW w:w="2393" w:type="dxa"/>
            <w:shd w:val="clear" w:color="auto" w:fill="auto"/>
          </w:tcPr>
          <w:p w:rsidR="001C70C6" w:rsidRP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20-24</w:t>
            </w:r>
          </w:p>
        </w:tc>
      </w:tr>
      <w:tr w:rsidR="001C70C6">
        <w:trPr>
          <w:jc w:val="center"/>
        </w:trPr>
        <w:tc>
          <w:tcPr>
            <w:tcW w:w="5607" w:type="dxa"/>
            <w:shd w:val="clear" w:color="auto" w:fill="auto"/>
          </w:tcPr>
          <w:p w:rsid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2.2</w:t>
            </w:r>
          </w:p>
        </w:tc>
        <w:tc>
          <w:tcPr>
            <w:tcW w:w="2393" w:type="dxa"/>
            <w:shd w:val="clear" w:color="auto" w:fill="auto"/>
          </w:tcPr>
          <w:p w:rsidR="001C70C6" w:rsidRPr="001C70C6" w:rsidRDefault="001C70C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25-30</w:t>
            </w:r>
            <w:bookmarkStart w:id="0" w:name="_GoBack"/>
            <w:bookmarkEnd w:id="0"/>
          </w:p>
        </w:tc>
      </w:tr>
    </w:tbl>
    <w:p w:rsidR="0077002C" w:rsidRDefault="0077002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77002C" w:rsidRDefault="00B74AF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01 – Выбирать способы решения задач профессиональной деятельности применительно к различным контекстам;</w:t>
      </w:r>
    </w:p>
    <w:p w:rsidR="0077002C" w:rsidRDefault="00B74AF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02 – Использовать современные средства поиска, анализа и интерпретации информации и</w:t>
      </w:r>
    </w:p>
    <w:p w:rsidR="0077002C" w:rsidRDefault="00B74AF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информационные технологии для выполн ения задач профессиональной деятельности;</w:t>
      </w:r>
    </w:p>
    <w:p w:rsidR="0077002C" w:rsidRDefault="00B74AF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04 – Эффективно взаимодействовать и работать в коллективе и команде;</w:t>
      </w:r>
    </w:p>
    <w:p w:rsidR="0077002C" w:rsidRDefault="00B74AF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05 –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77002C" w:rsidRDefault="00B74AF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OK 06 – Проявлять гражданско патриотическую позицию, демонстрировать осознанное поведение на основе традиционных российских духовно 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77002C" w:rsidRDefault="00B74AF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ОК 09 – Пользоваться профессиональной документацией на государственном и иностранном языках;</w:t>
      </w:r>
    </w:p>
    <w:p w:rsidR="0077002C" w:rsidRDefault="00B74AF6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ПК 2.2. – Назначать и проводить лечение неосложненных острых заболеваний и (или) состояний, хронических заболеваний и их обострений, травм, отравлений;</w:t>
      </w:r>
    </w:p>
    <w:p w:rsidR="0077002C" w:rsidRDefault="0077002C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</w:p>
    <w:p w:rsidR="0077002C" w:rsidRDefault="0077002C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</w:pPr>
    </w:p>
    <w:p w:rsidR="0077002C" w:rsidRDefault="0077002C">
      <w:pPr>
        <w:suppressAutoHyphens/>
        <w:spacing w:after="0" w:line="240" w:lineRule="auto"/>
        <w:ind w:right="283"/>
        <w:jc w:val="both"/>
        <w:rPr>
          <w:rFonts w:ascii="Times New Roman" w:hAnsi="Times New Roman"/>
          <w:bCs/>
          <w:sz w:val="24"/>
          <w:szCs w:val="24"/>
        </w:rPr>
        <w:sectPr w:rsidR="0077002C">
          <w:pgSz w:w="11906" w:h="16838"/>
          <w:pgMar w:top="1134" w:right="566" w:bottom="993" w:left="851" w:header="708" w:footer="708" w:gutter="0"/>
          <w:cols w:space="708"/>
          <w:docGrid w:linePitch="360"/>
        </w:sectPr>
      </w:pPr>
    </w:p>
    <w:p w:rsidR="0077002C" w:rsidRDefault="00B74AF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Оценочные средства для текущего контроля</w:t>
      </w:r>
    </w:p>
    <w:p w:rsidR="0077002C" w:rsidRDefault="0077002C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77002C">
        <w:trPr>
          <w:trHeight w:val="20"/>
        </w:trPr>
        <w:tc>
          <w:tcPr>
            <w:tcW w:w="3794" w:type="dxa"/>
            <w:vAlign w:val="center"/>
          </w:tcPr>
          <w:p w:rsidR="0077002C" w:rsidRDefault="00B74AF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77002C" w:rsidRDefault="00B74AF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77002C" w:rsidRDefault="00B74AF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7002C">
        <w:trPr>
          <w:trHeight w:val="20"/>
        </w:trPr>
        <w:tc>
          <w:tcPr>
            <w:tcW w:w="3794" w:type="dxa"/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подозрении на инфаркт миокарда фельдшер должен в первую очередь: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Дать пациенту активированный уголь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Уложить пациента в удобное положение, обеспечить покой, дать нитроглицерин при наличии показ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ний и вызвать специализированную помощь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Просить пациента выполнять глубокое дыхание и гимнастику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Накрыть пациента теплым одеялом и отпустить домой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подготовке операционного поля для венепункции (взятия крови) фельдшер должен: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Обрабатывать кожу спиртом или соответствующим антисептиком по кругу от центра к периферии и дать высохнуть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Протереть кожу только салфеткой без антисептика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Погрузить иглу в спирт перед введением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Использовать одну и ту же салфетку для всех пациентов подряд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оказании помощи пациенту с подозрением на инсульт важным фактором является: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Попытка вылечить пациента самостоятельно без вызова специализированной бригады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Быстрое определение времени начала симптомов, обеспечение покоя, вызов неотложной специализ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рованной помощи и подготовка к транспортировке в неврологический центр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Немедленное назначение антибиотиков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Игнорирование жалоб на слабость и головную боль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подготовке к инъекции внутримышечно фельдшер обязан: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Пропустить этап антисептики кожи, если пациент торопится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Обработать место укола антисептиком, выбрать соответствующую иглу и обеспечить асептику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Использовать одну и ту же иглу для нескольких пациентов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Вводить препарат под кожу, а не в мышцу, чтобы меньше болело</w:t>
            </w:r>
          </w:p>
          <w:p w:rsidR="0077002C" w:rsidRPr="00B74AF6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</w:tc>
      </w:tr>
      <w:tr w:rsidR="0077002C">
        <w:trPr>
          <w:trHeight w:val="20"/>
        </w:trPr>
        <w:tc>
          <w:tcPr>
            <w:tcW w:w="3794" w:type="dxa"/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7002C" w:rsidRDefault="0077002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77002C" w:rsidRDefault="00B74AF6" w:rsidP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Какие из перечисленных действий являются корректными при поиске клинической информации для подготовки к проведению медицинской манипуляции?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Искать последнюю версию клинических руководств и протоколов в специализированных медици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ских базах данных (например, UpToDate, Cochrane, Российские клинические рекомендации).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Использовать ключевые слова и фильтры по дате и типу публикации для быстрого отбора релеван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ных источников.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Опубликовать непроверенную методику в открытых форумах, чтобы получить быстрое подтвержд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от непрофессионалов.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Опираться только на найденную в интернете одну статью без сопоставления с другими источниками.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Какие функции мобильных и настольных приложений наиболее полезны фельдшеру при выполнении манипуляций и неотложной помощи?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Калькуляторы дозировок лекарств и нормативов инфузионной терапии с возможностью офлайн-доступа.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Автоматическое ведение и шифрование электронной медицинской документации пациента с разгр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ничением прав доступа.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Приложения, автоматически отправляющие персональные данные пациентов в открытый чат для быстрого обсуждения.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Интеграция с устройствами мониторинга (например, пульсоксиметром) и возможность записи пок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заний в историю болезни.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установление соответствия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Установите соответствие между термином из колонки А и его определением из колонки Б: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3"/>
              <w:gridCol w:w="6797"/>
            </w:tblGrid>
            <w:tr w:rsidR="0077002C">
              <w:tc>
                <w:tcPr>
                  <w:tcW w:w="4033" w:type="dxa"/>
                </w:tcPr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1) Булевы операторы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2) Фильтры по времени публикации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3) Пейперс/научные базы (PubMed, Cochrane)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4) Глубокая проверка авторства (author verification)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5) Систематические обзоры и мета-анализы</w:t>
                  </w:r>
                </w:p>
              </w:tc>
              <w:tc>
                <w:tcPr>
                  <w:tcW w:w="6797" w:type="dxa"/>
                </w:tcPr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А) Позволяют сужать результаты поиска по релевантности к недавним рекомендациям и срокам публикации.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Б) Используются для комбинирования терминов (AND, OR, NOT) и повышения точности поисковых запросов.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Представляют собой наивысший уровень доказательности для клинических решений при наличии качественных исслед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ваний.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Необходимы для оценки достоверности источника: проверка квалификации, аффилиаций и конфликтов интересов.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Д) Крупные специализированные ресурсы для поиска мед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цинских исследований, клинических рекомендаций и обзоров.</w:t>
                  </w:r>
                </w:p>
              </w:tc>
            </w:tr>
          </w:tbl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Ключ: 1–Б, 2–А, 3–Д, 4–Г, 5–В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Установите соответствие между инструментом ИТ-поддержки из колонки А и его назначением из к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лонки Б: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75"/>
              <w:gridCol w:w="6655"/>
            </w:tblGrid>
            <w:tr w:rsidR="0077002C">
              <w:tc>
                <w:tcPr>
                  <w:tcW w:w="4175" w:type="dxa"/>
                </w:tcPr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1) Клинические пути и алгоритмы (digital/print)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2) Чек-листы безопасности процедур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3) Клинические калькуляторы (расчет доз, GFR, BMI и т.п.)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4) Визуализация данных (графики, тренды параметров)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5) Критическая оценка источника (appraisal)</w:t>
                  </w:r>
                </w:p>
              </w:tc>
              <w:tc>
                <w:tcPr>
                  <w:tcW w:w="6655" w:type="dxa"/>
                </w:tcPr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А) Помогают стандартизовать порядок выполнения манип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ляций, снижают вариативность и риск ошибок.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Б) Используются для объективного расчета параметров тер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пии и дозирования лекарств.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В) Обеспечивают быстрое выявление отклонений в динамике показателей пациента, помогают интерпретировать тренды.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Г) Предназначены для проверки полноты и безопасности в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полнения этапов процедуры (например, предоперационная подготовка, асептика).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Д) Методология оценки качества исследования: дизайн, ст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тистика, конфликт интересов, релевантность для практики.</w:t>
                  </w:r>
                </w:p>
              </w:tc>
            </w:tr>
          </w:tbl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1–А, 2–Г, 3–Б, 4–В, 5–Д</w:t>
            </w:r>
          </w:p>
        </w:tc>
      </w:tr>
      <w:tr w:rsidR="0077002C">
        <w:trPr>
          <w:trHeight w:val="841"/>
        </w:trPr>
        <w:tc>
          <w:tcPr>
            <w:tcW w:w="3794" w:type="dxa"/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1056" w:type="dxa"/>
          </w:tcPr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Какой подход наиболее важен при распределении обязанностей в бригаде на месте оказания скорой помощи?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Распределять задачи по очереди, чтобы все выполняли одинаковый объём работы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Делегировать задачи в зависимости от компетенций и опыта членов команды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Пусть руководит тот, кто старше по возрасту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Каждый делает то, что считает нужным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Что является ключевым элементом эффективной коммуникации между фельдшером и врачом во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время экстренной манипуляции?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Монолог фельдшера о проделанных действиях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Использование медицинских терминов без объяснений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Краткая, точная и своевременная передача актуальной информации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Ожидание, пока врач сам спросит обо всём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B74AF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1. При конфликте в бригаде во время выполнения процедуры фельдшер должен прежде всего: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Игнорировать конфликт и продолжать работу как есть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Усиленно доказывать свою точку зрения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Приостановить общение и обсудить проблему позже в спокойной обстановке, продолжая следовать протоколу выполнения манипуляции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Немедленно перебить коллегу и требовать подчинения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Какой стиль лидерства наиболее эффективен в условиях выездной бригадной работы при оказании неотложной помощи?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Авторитарный стиль без обсуждений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Laissez-faire, когда лидер полностью отстраняется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Ситуативный стиль: руководитель адаптирует подход в зависимости от ситуации и компетенций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манды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Постоянная передача решений на голосование</w:t>
            </w:r>
          </w:p>
          <w:p w:rsidR="0077002C" w:rsidRPr="00B74AF6" w:rsidRDefault="00B74AF6" w:rsidP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Ключ: В </w:t>
            </w:r>
          </w:p>
        </w:tc>
      </w:tr>
      <w:tr w:rsidR="0077002C">
        <w:trPr>
          <w:trHeight w:val="807"/>
        </w:trPr>
        <w:tc>
          <w:tcPr>
            <w:tcW w:w="3794" w:type="dxa"/>
            <w:tcBorders>
              <w:bottom w:val="single" w:sz="4" w:space="0" w:color="auto"/>
            </w:tcBorders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  <w:tcBorders>
              <w:bottom w:val="single" w:sz="4" w:space="0" w:color="auto"/>
            </w:tcBorders>
          </w:tcPr>
          <w:p w:rsidR="0077002C" w:rsidRDefault="00B74AF6" w:rsidP="004628C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Во время проведения инъекции у пожилого пациента присутствует его взрослый сын, который задаёт много вопросов и выражает сомнения в необходимости процедуры. Как фельдшер должен действовать, чтобы сохранить доверие, соблюсти права пациента и обеспечить безопасность процедуры?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Игнорировать вопросы и продолжать манипуляцию, чтобы не задерживать выполнение процедуры.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Вежливо остановить манипуляцию на несколько минут, кратко и доступно объяснить цель и ход пр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цедуры пациенту и сопровождающему, озвучить возможные риски и побочные эффекты, подтвердить согласие пациента.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Отправить сопровождающего в соседнюю комнату без объяснений, чтобы не провоцировать ко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фликт.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Г) При необходимости привлечь врача или старшего фельдшера для дополнительного разъяснения и при возникновении сомнений отложить манипуляцию до прояснения ситуации.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Уступить требованию сопровождающего и не выполнять манипуляцию, даже если пациент сам с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гласен и процедура экстренная.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Фельдшер заполняет карту больного после выполненной манипуляции (введение препарата внутр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и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мышечно, наблюдение 30 минут). Какие элементы записи являются обязательными и корректными с точки зрения письменной коммуникации на государственном языке и медицинской документации?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Дата и время манипуляции; подпись фельдшера.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Наименование введённого препарата, доза, путь введения, серия и срок годности препарата.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Личные комментарии в разговорном стиле о «страшном поведении пациента», не относящиеся к кл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нической картине.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Описание состояния пациента до и после манипуляции, объективные показатели (АД, ЧСС, насыщ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 кислородом) и отмеченные побочные реакции (если были).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Рекомендации по дальнейшему наблюдению и контакты для экстренной связи (при необходимости).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Г, Д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при оказании помощи пациенту на дому с ж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а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лобами на сильную боль в груди и затруднённое дыхание: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Сообщить кратко и спокойно супруге пациента, что вы сейчас оцениваете состояние, попросить предоставить информацию о хронических заболеваниях, аллергиях и принимаемых препаратах.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Открыть каналы доступа (при необходимости обеспечить проходимость дыхательных путей) и начать мониторинг жизненных показателей (ЧСС, АД, насыщение кислородом).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Установить предварительный диагноз «острый коронарный синдром / острая дыхательная недост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точность» и срочно сообщить диспетчеру и бригаде неотложной помощи при необходимости эвакуации.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Провести краткий опрос пациента — уточнить начало, характер и продолжительность боли, наличие предшествующих симптомов, прием нитроглицерина или других лекарств.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Объяснить пациенту простыми словами предполагаемые дальнейшие действия и получить его согл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сие (если пациент в сознании и способен решать).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Б, Г, А, Д, В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при взятии венозной крови у взрослого пац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и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ента в амбулаторных условиях: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Подготовить рабочее место: надеть перчатки, подготовить набор для взятия крови, проверить ярлыки для маркировки пробирок.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Попросить пациента представиться/подтвердить свою личность (ФИО, дата рождения) и цель иссл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дования; объяснить этапы процедуры простым, уважительным языком.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После взятия крови наложить тампон, спросить о переносимости процедуры, приклеить ярлык на пробирку, внести запись в медкарту (дата, время, кто взял кровь, тип исследования), и дать рекоменд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по дальнейшим действиям.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Выбрать вену, наложить жгут, обработать место антисептиком, провести пунктирование и заполнить пробирки.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Перед началом процедуры уточнить наличие аллергии на латекс/анестетики и противопоказаний к взятию крови (например, декомпенсированный шок), при необходимости обсудить с пациентом ко</w:t>
            </w: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фортные позы.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Д, Г, В</w:t>
            </w:r>
          </w:p>
        </w:tc>
      </w:tr>
      <w:tr w:rsidR="0077002C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 xml:space="preserve">ОК 06. </w:t>
            </w:r>
            <w:r>
              <w:rPr>
                <w:rFonts w:eastAsia="Calibri"/>
                <w:bCs/>
                <w:sz w:val="24"/>
                <w:szCs w:val="24"/>
              </w:rPr>
              <w:t>Проявлять гражданско патриотическую позицию, демонстрировать осознанное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поведение на основе традиционных российских духовно нравственных ценностей, в том числе с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учетом гармонизации межнациональных и межрелигиозных отношений, применять стандарты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нтикоррупционного поведения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Какое действие фельдшера наиболее полно демонстрирует гражданско-патриотическую позицию в его профессиональной деятельности?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Строгое следование должностной инструкции и законам Российской Федерации при оказании мед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цинской помощи.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Активное участие в политических митингах в свободное от работы время.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Отказ от обслуживания пациентов, выражающих критическое отношение к государству.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Ношение национальной символики на рабочем халате во время приёма пациентов.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Фельдшер работает в отдалённом населённом пункте и сталкивается с трудностями в оказании п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мощи из-за отсутствия необходимого оборудования. Какое качество, основанное на традиционных ро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сийских духовно-нравственных ценностях, будет наиболее важным для эффективного выполнения его обязанностей?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Снисходительность к ошибкам коллег.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Умение быстро находить виновных в проблемах.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Ответственность, самоотверженность и находчивость в поиске решения.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Делегирование сложных случаев врачам из районного центра без попыток помочь на месте.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При оказании экстренной медицинской помощи фельдшер сталкивается с пациентом, исповедующим отличную от большинства религию, чьи обряды и традиции не позволяют легко проводить определё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ные медицинские манипуляции. Какова должна быть первоочередная реакция фельдшера, соответств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ющая принципам гармонизации межнациональных и межрелигиозных отношений?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Настоять на немедленном выполнении всех необходимых манипуляций без объяснений.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Отказаться от оказания помощи, если пациент не соблюдает медицинские предписания.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Объяснить пациенту и его близким важность медицинских процедур, по возможности учитывая кул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турные и религиозные особенности, не ставя под угрозу жизнь и здоровье пациента.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Привлечь представителей религиозной общины пациента для разрешения ситуации, отложив оказ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ние помощи.</w:t>
            </w:r>
          </w:p>
          <w:p w:rsidR="0077002C" w:rsidRPr="004628C6" w:rsidRDefault="00B74AF6" w:rsidP="004628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</w:tc>
      </w:tr>
      <w:tr w:rsidR="0077002C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При изучении медицинской документации пациента, прибывшего из-за рубежа, фельдшер обнар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живает медицинские записи на иностранном языке с неизвестными аббревиатурами. Каково правильное действие?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Игнорировать непонятные части документации, сосредоточившись на известных данных.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Попытаться самостоятельно расшифровать аббревиатуры, исходя из общего медицинского контекста.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Запросить помощь у сертифицированного медицинского переводчика или специалиста, владеющего данным языком и медицинской терминологией, для точной интерпретации.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Сделать запрос в медицинское учреждение по месту жительства пациента, используя онлайн-переводчик.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(множественный выбор)</w:t>
            </w:r>
          </w:p>
          <w:p w:rsidR="0077002C" w:rsidRDefault="004628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При оформлении медицинской документации после выполнения манипуляции фельдшер обязан (о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метьте все верные варианты):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Внести полную информацию о проведенной манипуляции (вид, техника, используемые матери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лы/лекарства).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Оставлять записи только на государственном языке, а перевод на иностранный — опционален и дел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ется по усмотрению фельдшера.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Указывать точное время начала и окончания манипуляции и данные лица, выполнившего манипул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цию.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Сокращать сведения и использовать любые аббревиатуры, если так удобнее фельдшеру, без расши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ровки.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При необходимости прочитать или использовать медицинскую документацию на иностранном языке фельдшер должен (отметьте все верные варианты):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При наличии сомнений привлечь сертифицированного медицинского переводчика или коллегу с 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твержденным знанием языка.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Пользоваться только автоматическими онлайн-переводчиками без привлечения специалиста, если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ревод кажется понятным.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Обратить внимание на международно признанные условные обозначения и единицы измерения, а при интерпретации учитывать клинический контекст.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Изменять исходный смысл записей в документации при переводе, чтобы адаптировать под местные клинические протоколы.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Установите соответствие между видом медицинского документа из колонки А и его описанием из колонки Б: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77002C">
              <w:tc>
                <w:tcPr>
                  <w:tcW w:w="5415" w:type="dxa"/>
                </w:tcPr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Журнал процедур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Сопровождающая медицинская запись (амб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латорная карта)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Информированное согласие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Протокол стерилизации инструментов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Карта наблюдения за пациентом после манип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ляции</w:t>
                  </w:r>
                </w:p>
              </w:tc>
              <w:tc>
                <w:tcPr>
                  <w:tcW w:w="5415" w:type="dxa"/>
                </w:tcPr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А) Документ, фиксирующий согласие пациента на вмешательство после разъяснения рисков и ал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тернатив.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Регистровая книга, где последовательно зап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сывают выполненные лечебные/диагностические процедуры.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Отчет о проведенных режимах стерилизации и результатах контроля.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История визитов и назначений пациента в 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булаторных условиях.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Форма для систематического контроля жи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ненных показателей и осложнений в раннем п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слеоперационном / постманипуляционном пери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де.</w:t>
                  </w:r>
                </w:p>
              </w:tc>
            </w:tr>
          </w:tbl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1–Б, 2–Г, 3–А, 4–В, 5–Д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Установите соответствие между англоязычным термином из медицинской документации (колонка А) и его правильным переводом/определением (колонка Б):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77002C">
              <w:tc>
                <w:tcPr>
                  <w:tcW w:w="5415" w:type="dxa"/>
                </w:tcPr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1) Vital signs chart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2) Informed consent form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3) Surgical instrument sterilization log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  <w:lang w:val="en-US"/>
                    </w:rPr>
                    <w:t>4) Discharge summary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Adverse event report</w:t>
                  </w:r>
                </w:p>
              </w:tc>
              <w:tc>
                <w:tcPr>
                  <w:tcW w:w="5415" w:type="dxa"/>
                </w:tcPr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Выписное эпикриз/выписное заключение п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сле стационара.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Журнал стерилизации хирургических инстр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ментов.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Форма информированного согласия.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Карта/таблица жизненных показателей (АД, пульс, ЧД, температура).</w:t>
                  </w:r>
                </w:p>
                <w:p w:rsidR="0077002C" w:rsidRDefault="00B74AF6">
                  <w:pPr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Отчет о неблагоприятном соб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тии/осложнении.</w:t>
                  </w:r>
                </w:p>
              </w:tc>
            </w:tr>
          </w:tbl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1–Г, 2–В, 3–Б, 4–А, 5–Д</w:t>
            </w:r>
          </w:p>
        </w:tc>
      </w:tr>
      <w:tr w:rsidR="0077002C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2.2. 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К вам обратился пациент с неосложненным ОРЗ (повышенная температура до 38.0°C, насморк, к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а</w:t>
            </w:r>
            <w:r w:rsidR="00B74AF6">
              <w:rPr>
                <w:rFonts w:ascii="Times New Roman" w:hAnsi="Times New Roman"/>
                <w:sz w:val="24"/>
                <w:szCs w:val="24"/>
              </w:rPr>
              <w:t>шель без одышки). Какова первоочередная рекомендация фельдшера?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Немедленно начать курс антибиотиков широкого спектра действия.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 Рекомендовать обильное теплое питье, постельный режим и симптоматическое лечение (жаропон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жающие при необходимости, сосудосуживающие капли в нос).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Направить на немедленную госпитализацию для выяснения этиологии заболевания.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Назначить отхаркивающие средства и муколитики в максимальной дозировке.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К вам вызван пациент с известной бронхиальной астмой, который жалуется на внезапно возникшее затруднение дыхания, свистящие хрипы. Что фельдшер должен предпринять в первую очередь?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Ввести внутримышечно антибиотик.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Обеспечить ингаляцию короткодействующего бронходилататора (например, сальбутамол).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Начать небулайзерную терапию с глюкокортикостероидами.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Немедленно выполнить рентген грудной клетки.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Пациент получил небольшой линейный порез предплечья (неглубокий, без обильного кровотечения, края ровные). Какова правильная последовательность действий фельдшера по обработке раны?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Нанести на рану йод и забинтовать.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Промыть рану проточной водой, обработать антисептиком (например, хлоргексидином), наложить стерильную повязку.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Оставить рану открытой для быстрого заживления.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Наложить жгут выше пореза для остановки кровотечения.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Вы прибыли на вызов к пациенту, который, предположительно, принял внутрь неизвестное вещ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е</w:t>
            </w:r>
            <w:r w:rsidR="00B74AF6">
              <w:rPr>
                <w:rFonts w:ascii="Times New Roman" w:hAnsi="Times New Roman"/>
                <w:sz w:val="24"/>
                <w:szCs w:val="24"/>
              </w:rPr>
              <w:t>ство. Пациент в сознании, жалуется на тошноту, но рвоты нет. Каково ваше первоочередное действие, если нет противопоказаний?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Немедленно вызвать рвоту любым доступным способом.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Дать пациенту выпить стакан молока.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Обеспечить проходимость дыхательных путей и вызвать специализированную бригаду.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Дать активированный уголь из расчета 1 таблетка на 10 кг массы тела, разведенный в воде.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Г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Пациент с диагностированной артериальной гипертензией вызывает фельдшера, так как чувствует себя плохо, и тонометр показывает АД 160/100 мм рт. ст. (обычное АД пациента 130/80 мм рт. ст.). Он регулярно принимает назначенные препараты. Каково ваше первоочередное действие?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Увеличить дозу принимаемого пациентом антигипертензивного препарата вдвое.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Рекомендовать пациенту принять дополнительную дозу быстродействующего гипотензивного преп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рата, если таковой имеется в его назначениях и ранее применялся в подобных ситуациях по назначению врача, обеспечить покой и повторно измерить АД через 30-60 минут.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Немедленно вызвать скорую помощь для госпитализации.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Предложить выпить крепкий кофе для поднятия тонуса.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Пациент с симптомами неосложнённой ОРВИ: субфебрилитет до 38,0°C, заложенность носа, ум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е</w:t>
            </w:r>
            <w:r w:rsidR="00B74AF6">
              <w:rPr>
                <w:rFonts w:ascii="Times New Roman" w:hAnsi="Times New Roman"/>
                <w:sz w:val="24"/>
                <w:szCs w:val="24"/>
              </w:rPr>
              <w:t>ренная боль в горле, кашель без признаков дыхательной недостаточности. Какие из перечисленных де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й</w:t>
            </w:r>
            <w:r w:rsidR="00B74AF6">
              <w:rPr>
                <w:rFonts w:ascii="Times New Roman" w:hAnsi="Times New Roman"/>
                <w:sz w:val="24"/>
                <w:szCs w:val="24"/>
              </w:rPr>
              <w:t>ствий фельдшера являются обоснованными?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Рекомендовать режим покоя, обильное тёплое питьё и адекватный сон.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Немедленно назначить антибиотик широкого спектра действия.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Провести симптоматическую терапию: при сильной заложенности — назальные деконгестанты кра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ким курсом; при боли в горле — местные антисептики/полоскания.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При отсутствии улучшения через 48–72 часа — повторная оценка состояния, при необходимости направление к врачу или госпитализация.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Назначить кортикостероидные ингаляции у всех пациентов для профилактики осложнений.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</w:tc>
      </w:tr>
    </w:tbl>
    <w:p w:rsidR="0077002C" w:rsidRDefault="0077002C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</w:p>
    <w:p w:rsidR="0077002C" w:rsidRDefault="00B74AF6">
      <w:pPr>
        <w:suppressAutoHyphens/>
        <w:spacing w:after="0" w:line="240" w:lineRule="auto"/>
        <w:ind w:right="28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  <w:r w:rsidRPr="004628C6">
        <w:rPr>
          <w:rFonts w:ascii="Times New Roman" w:hAnsi="Times New Roman"/>
          <w:b/>
          <w:sz w:val="28"/>
          <w:szCs w:val="28"/>
        </w:rPr>
        <w:lastRenderedPageBreak/>
        <w:t>Оценочные средства для промежуточного контроля</w:t>
      </w:r>
    </w:p>
    <w:p w:rsidR="0077002C" w:rsidRDefault="0077002C">
      <w:pPr>
        <w:suppressAutoHyphens/>
        <w:spacing w:after="0" w:line="240" w:lineRule="auto"/>
        <w:ind w:left="567" w:right="283"/>
        <w:rPr>
          <w:rFonts w:ascii="Times New Roman" w:hAnsi="Times New Roman"/>
          <w:b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77002C">
        <w:trPr>
          <w:trHeight w:val="20"/>
        </w:trPr>
        <w:tc>
          <w:tcPr>
            <w:tcW w:w="3794" w:type="dxa"/>
            <w:vAlign w:val="center"/>
          </w:tcPr>
          <w:p w:rsidR="0077002C" w:rsidRDefault="00B74AF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77002C" w:rsidRDefault="00B74AF6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:rsidR="0077002C" w:rsidRDefault="00B74AF6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77002C">
        <w:trPr>
          <w:trHeight w:val="20"/>
        </w:trPr>
        <w:tc>
          <w:tcPr>
            <w:tcW w:w="3794" w:type="dxa"/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1056" w:type="dxa"/>
          </w:tcPr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выполнении сердечно-легочной реанимации взрослому пациенту на этапе непрямого массажа сердца оптимальная глубина компрессий составляет примерно: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1–2 см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3–4 см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5–6 см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Более 8 см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При выполнении внутримышечной инъекции фельдшер должен: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Выбрать правильную зону и избегать крупных сосудов и нервов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Использовать одноразовый шприц и иглу, не менять иглу перед введением лекарства в мышцы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Ввести лекарство медленно, фиксируя кожу валиками при необходимости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После инъекции не утилизировать иглу в специальный контейнер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При подозрении на анафилаксию после введения препарата фельдшер должен: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Срочно ввести адреналин внутримышечно (в соответствии с протоколом)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Положить пациента в положение Тренделенбурга с приподнятыми ногами без контроля дыхательных путей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Обеспечить проходимость дыхательных путей, при необходимости начать искусственное дыхание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Немедленно вводить большие дозы антибиотиков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Установите правильную последовательность действий при оказании помощи при подозрении на отёк Квинке: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 При подозрении на отёк Квинке обеспечить свободные дыхательные пути (снятие тесной одежды).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Ввести антигистаминные препараты и глюкокортикоиды по протоколу.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Оценить жизненные функции и вызвать бригаду скорой помощи.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При признаках дыхательной недостаточности — адреналин внутримышечно и кислород.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Подготовить к экстренной интубации при отеке гортани.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1, 3, 4, 2, 5</w:t>
            </w:r>
          </w:p>
        </w:tc>
      </w:tr>
      <w:tr w:rsidR="0077002C">
        <w:trPr>
          <w:trHeight w:val="20"/>
        </w:trPr>
        <w:tc>
          <w:tcPr>
            <w:tcW w:w="3794" w:type="dxa"/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  <w:p w:rsidR="0077002C" w:rsidRDefault="0077002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11056" w:type="dxa"/>
          </w:tcPr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Какой подход наиболее корректен при использовании результатов быстрых диагностических тестов (например, глюкометр, тест на COVID) в клиническом решении?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Принимать результат за абсолютную истину и действовать без учета клинической картины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Игнорировать результаты и руководствоваться только субъективными жалобами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Сочетать результат теста с клинической оценкой, учитывать возможность ложноположител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ных/ложноотрицательных результатов и при необходимости подтверждать другими методами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Выносить окончательный диагноз только на основании результата теста, если он найден в интернете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Какая практика обеспечивает защиту персональных медицинских данных пациентов при использов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нии мобильных приложений и передачи данных?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Отправка данных через общедоступные чаты и мессенджеры без разрешения пациента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Использование приложений с шифрованием, доступом по паролю/биометрии и соблюдение локал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sz w:val="24"/>
                <w:szCs w:val="24"/>
              </w:rPr>
              <w:t>ных правил конфиденциальности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Хранение данных на личном телефоне без блокировки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Публикация снимков документов пациента в социальных сетях для обсуждения случаев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 При анализе литературы для принятия решения о новой процедуре фельдшера, что следует сделать в первую очередь?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Чтение случайных статей найденных по запросу и принятие решения на их основе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Оценка качества источника: дата публикации, тип исследования (клинические рекомендации, мета-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анализы, РКИ), конфликт интересов и релевантность к практике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Принятие результатов только из иностранных сайтов без проверки переводов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Опора исключительно на рекламный материал производителя оборудования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 Какие подходы к верификации и интерпретации результатов быстрых диагностических тестов и лаб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раторных данных фельдшеру следует применять?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Сравнивать результаты теста с клинической картиной пациента и возможными пред- и посттестов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ми вероятностями.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Игнорировать референтные значения и опираться только на собственную интуицию.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Проверять методику и чувствительность/специфичность теста в руководстве производителя и клин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ческих рекомендациях.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При сомнении — повторно выполнить тест или проконсультироваться со старшим специал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стом/лабораторией.</w:t>
            </w:r>
          </w:p>
          <w:p w:rsidR="0077002C" w:rsidRDefault="00B74AF6" w:rsidP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В, Г</w:t>
            </w:r>
          </w:p>
        </w:tc>
      </w:tr>
      <w:tr w:rsidR="0077002C">
        <w:trPr>
          <w:trHeight w:val="841"/>
        </w:trPr>
        <w:tc>
          <w:tcPr>
            <w:tcW w:w="3794" w:type="dxa"/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1056" w:type="dxa"/>
          </w:tcPr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 ситуации ограниченных ресурсов (например, оборудования или медикаментов) оптимальная такт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ка команды: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Соревноваться за доступ к ресурсам, чтобы каждый спасал своих пациентов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Принимать коллективное решение о приоритетах исходя из клинической значимости и безопасности пациента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Откладывать помощь до прибытия лучшего оснащения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Использовать ресурсы только для пациентов, которые знакомы членам команды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Что из перечисленного способствует поддержанию конструктивной атмосферы в медицинской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манде?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Оказывать эмоциональную поддержку коллегам в стрессовых ситуациях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Критиковать публично за ошибку, чтобы остальные боялись повторить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Давать краткую и конкретную обратную связь после выполнения задачи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Поощрять обмен опытом и совместный анализ случаев (debriefing)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Игнорировать признаки выгорания у коллег — это их личная проблема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11. Какие практики фельдшера повышают безопасность пациента во время манипуляций?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Всегда проводить предварительную проверку идентификации пациента и согласия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Пренебрегать гигиеной рук при спешке — важнее скорость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Использовать чек-листы для последовательности действий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Подтверждать аллергии и сопутствующие заболевания с членами команды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Д) Документировать выполненные манипуляции и наблюдения сразу после процедуры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Г, Д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12. Установите соответствие между инструментом организации работы (колонка А) и его описанием (колонка Б):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5415"/>
            </w:tblGrid>
            <w:tr w:rsidR="0077002C">
              <w:tc>
                <w:tcPr>
                  <w:tcW w:w="5415" w:type="dxa"/>
                </w:tcPr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Чек-лист перед процедурой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Брифинг перед началом манипуляции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Дебрифинг после сложного случая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Унификация оборудования и наборов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Стандартизированные сигналы и словесные команды в команде</w:t>
                  </w:r>
                </w:p>
              </w:tc>
              <w:tc>
                <w:tcPr>
                  <w:tcW w:w="5415" w:type="dxa"/>
                </w:tcPr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Обсуждение ролей, ожидаемых шагов и во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можных осложнений перед началом работы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Контрольный список проверки идентификации пациента, аллергий, стерильности и наличия ин-струментов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Разбор ошибок, положительных моментов и план улучшений для снижения рисков в будущем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Снижение ошибок при подготовке и работе за счёт одинаковых наборов и маркировки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Использование коротких чётких команд (например, "стоп", "фиксируйте", "в/в готово") для миними-зации недопонимания</w:t>
                  </w:r>
                </w:p>
              </w:tc>
            </w:tr>
          </w:tbl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1–Б, 2–А, 3–В, 4–Г, 5–Д</w:t>
            </w:r>
          </w:p>
        </w:tc>
      </w:tr>
      <w:tr w:rsidR="0077002C">
        <w:trPr>
          <w:trHeight w:val="807"/>
        </w:trPr>
        <w:tc>
          <w:tcPr>
            <w:tcW w:w="3794" w:type="dxa"/>
            <w:tcBorders>
              <w:bottom w:val="single" w:sz="4" w:space="0" w:color="auto"/>
            </w:tcBorders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1056" w:type="dxa"/>
            <w:tcBorders>
              <w:bottom w:val="single" w:sz="4" w:space="0" w:color="auto"/>
            </w:tcBorders>
          </w:tcPr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13. При общении с представителем другой культуры, для которого характерны прямые физические ко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такты (пользуется привычкой приветствовать рукопожатием или лёгким прикосновением), как фель</w:t>
            </w:r>
            <w:r>
              <w:rPr>
                <w:rFonts w:ascii="Times New Roman" w:hAnsi="Times New Roman"/>
                <w:sz w:val="24"/>
              </w:rPr>
              <w:t>д</w:t>
            </w:r>
            <w:r>
              <w:rPr>
                <w:rFonts w:ascii="Times New Roman" w:hAnsi="Times New Roman"/>
                <w:sz w:val="24"/>
              </w:rPr>
              <w:t>шер должен поступить в условиях медицинской манипуляции, учитывая профессиональную этику и культурную чувствительность?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А) Игнорировать культурные особенности и требовать полного соблюдения дистанции независимо от </w:t>
            </w:r>
            <w:r>
              <w:rPr>
                <w:rFonts w:ascii="Times New Roman" w:hAnsi="Times New Roman"/>
                <w:sz w:val="24"/>
              </w:rPr>
              <w:lastRenderedPageBreak/>
              <w:t>ситуации.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Объяснить пациенту на государственном языке кратко правила контакта в медицинской обстановке и, при отсутствии противопоказаний, приветствовать в приемлемой профессиональной форме.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Следовать любым пожеланиям пациента без оговорок, даже если это мешает безопасности.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Попросить пациента покинуть помещение.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14. После оказания неотложной помощи фельдшер должен передать пациента в приемное отделение. Какой устный отчёт будет наиболее информативным и соответствующим стандартам?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«Пациент пришёл, сделал укол, всё нормально.»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«Пациент, 56 лет, жаловался на сильную боль в груди; до прибытия измерено АД 160/100, ЧСС 110; выполнена оксигенотерапия, введён нитроглицерин subling.; состояние стабилизировано; передаётся для дальнейшего обследования. Документы и карта прилагаются.»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«Пациент плакал, что-то сделали, дальше вы разберётесь.»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«Не моё дело, у меня смена кончается.»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Б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15. Пациент выражает недоверие к назначенному лечению, требует альтернативных средств по совету знакомых. Как корректно отреагировать фельдшеру, сохраняя уважение и соблюдая стандарты комм</w:t>
            </w:r>
            <w:r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z w:val="24"/>
              </w:rPr>
              <w:t>никации?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«Если вы не доверяете, уходите.»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«Я не обсуждаю это, делаю как сказано в протоколе.»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«Понимаю ваши опасения. Могу объяснить научные основания предлагаемого лечения, возможные риски и варианты; если хотите, обсужу возможные альтернативы в рамках протоколов или привлеку врача для консультации.»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«Делайте как хотите, я не вмешиваюсь.»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В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77002C" w:rsidRDefault="00B74AF6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/>
              <w:rPr>
                <w:rFonts w:ascii="Times New Roman" w:hAnsi="Times New Roman"/>
                <w:sz w:val="24"/>
              </w:rPr>
            </w:pP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16. Во время устного приёма фельдшер обнаружил, что пациент с ограниченным знанием русского яз</w:t>
            </w:r>
            <w:r>
              <w:rPr>
                <w:rFonts w:ascii="Times New Roman" w:hAnsi="Times New Roman"/>
                <w:sz w:val="24"/>
              </w:rPr>
              <w:t>ы</w:t>
            </w:r>
            <w:r>
              <w:rPr>
                <w:rFonts w:ascii="Times New Roman" w:hAnsi="Times New Roman"/>
                <w:sz w:val="24"/>
              </w:rPr>
              <w:lastRenderedPageBreak/>
              <w:t>ка неправильно понимает инструкции по уходу после манипуляции. Какие действия соответствуют пр</w:t>
            </w:r>
            <w:r>
              <w:rPr>
                <w:rFonts w:ascii="Times New Roman" w:hAnsi="Times New Roman"/>
                <w:sz w:val="24"/>
              </w:rPr>
              <w:t>о</w:t>
            </w:r>
            <w:r>
              <w:rPr>
                <w:rFonts w:ascii="Times New Roman" w:hAnsi="Times New Roman"/>
                <w:sz w:val="24"/>
              </w:rPr>
              <w:t>фессиональной и культурно-чувствительной коммуникации?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А) Использовать простые фразы на государственном языке, избегать медицинских терминов, демо</w:t>
            </w:r>
            <w:r>
              <w:rPr>
                <w:rFonts w:ascii="Times New Roman" w:hAnsi="Times New Roman"/>
                <w:sz w:val="24"/>
              </w:rPr>
              <w:t>н</w:t>
            </w:r>
            <w:r>
              <w:rPr>
                <w:rFonts w:ascii="Times New Roman" w:hAnsi="Times New Roman"/>
                <w:sz w:val="24"/>
              </w:rPr>
              <w:t>стрировать действия при необходимости.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Б) Предложить печатные инструкции на государственном языке и, если возможно, на языке пациента; использовать рисунки или схемы.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В) Требовать, чтобы пациент сам нашёл переводчика; продолжить объяснение обычным темпом.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Г) Привлечь при возможности родственника или штатного переводчика, но убедиться, что пациент даёт согласие на использование третьих лиц и что конфиденциальность сохраняется.</w:t>
            </w:r>
          </w:p>
          <w:p w:rsidR="0077002C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Д) Игнорировать непонимание и полагаться на то, что пациент разберётся позже.</w:t>
            </w:r>
          </w:p>
          <w:p w:rsidR="0077002C" w:rsidRPr="00B74AF6" w:rsidRDefault="00B74AF6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Ключ: А, Б, Г</w:t>
            </w:r>
          </w:p>
        </w:tc>
      </w:tr>
      <w:tr w:rsidR="0077002C">
        <w:trPr>
          <w:trHeight w:val="2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 xml:space="preserve">ОК 06. </w:t>
            </w:r>
            <w:r>
              <w:rPr>
                <w:rFonts w:eastAsia="Calibri"/>
                <w:bCs/>
                <w:sz w:val="24"/>
                <w:szCs w:val="24"/>
              </w:rPr>
              <w:t>Проявлять гражданско патриотическую позицию, демонстрировать осознанное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поведение на основе традиционных российских духовно нравственных ценностей, в том числе с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учетом гармонизации межнациональных и межрелигиозных отношений, применять стандарты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sz w:val="24"/>
                <w:szCs w:val="24"/>
              </w:rPr>
              <w:t>а</w:t>
            </w:r>
            <w:r>
              <w:rPr>
                <w:bCs/>
                <w:sz w:val="24"/>
                <w:szCs w:val="24"/>
              </w:rPr>
              <w:t>нтикоррупционного поведения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02C" w:rsidRDefault="00B74AF6" w:rsidP="004628C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В смене возник конфликт между родственниками двух пациентов разной национальности, угрожа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ю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щий дестабилизацией работы отделения. Как должны действовать фельдшер и команда, сохраняя пр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фессионализм, патриотизм и принципы недискриминации?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Стараться нейтрализовать конфликт, предложив временно перенести родственников в разные зоны ожидания и продолжить оказание помощи пациентам.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Поддержать «своих» по национальному признаку, чтобы укрепить позиции коллектива.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Привлечь социального работника или старшую медсестру для разговора с родственниками, объяснив важность спокойствия ради здоровья пациентов.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Записывать конфликт в служебную документацию и, при необходимости, инициировать уведомление руководства или службы безопасности.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В, Г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Фельдшер получает предложение от внешнего поставщика медицинских изделий: предоставить заказ на поставку в обмен на «компенсацию» и личные бонусы. Какие действия соответствуют стандартам а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тикоррупционного поведения и гражданско-патриотической позиции?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Немедленно отказаться от предложения, зафиксировать попытку в служебной записке и сообщить руководству или в антикоррупционную службу учреждения.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Согласиться и получить бонусы, но оформить поставку по официальным документам.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Попросить письменное предложение и передать его ответственному за закупки и руководству для прозрачного решения.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Игнорировать предложение и ничего не делать, чтобы не привлекать к себе внимание.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В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Установите соответствие между этической ситуацией (колонка А) и верным действием фельдшера (колонка Б):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42"/>
              <w:gridCol w:w="6088"/>
            </w:tblGrid>
            <w:tr w:rsidR="0077002C">
              <w:tc>
                <w:tcPr>
                  <w:tcW w:w="4742" w:type="dxa"/>
                </w:tcPr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 Поставщик предлагает фельдшеру ли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ное вознаграждение за ускорение поставки расходных материалов.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 Пациент или его родственник предлагает фельдшеру денежную «благодарность» за хорошее обслуживание.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 Обнаружена несоответствующая док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ментация при получении медицинских и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делий.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4) Фельдшер получает просьбу «сверх» стандартной процедуры, которая может привести к личной выгоде коллеги.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5) Получено предложение передать список пациентов вне официальных каналов для коммерческих целей.</w:t>
                  </w:r>
                </w:p>
              </w:tc>
              <w:tc>
                <w:tcPr>
                  <w:tcW w:w="6088" w:type="dxa"/>
                </w:tcPr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А) Немедленный отказ, фиксация факта и информиров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ние руководства или антикоррупционной службы.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Б) Вежливый отказ от личного вознаграждения, док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ментирование факта при необходимости и сообщение руководству, если есть признаки давления.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В) Остановка дальнейших действий, уведомление отве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ственных за материально-техническое обеспечение и проверка документов в присутствии контролирующих лиц.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Г) Отказ от участия, сообщение руководству и, при необходимости, подача соответствующей служебной записки.</w:t>
                  </w:r>
                </w:p>
                <w:p w:rsidR="0077002C" w:rsidRDefault="00B74AF6">
                  <w:pPr>
                    <w:spacing w:after="0" w:line="20" w:lineRule="atLeast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Д) Отклонение запроса и передача инцидента в службу безопасности/администрацию для предотвращения утечки данных.</w:t>
                  </w:r>
                </w:p>
              </w:tc>
            </w:tr>
          </w:tbl>
          <w:p w:rsidR="0077002C" w:rsidRDefault="00B74AF6">
            <w:pPr>
              <w:adjustRightInd w:val="0"/>
              <w:snapToGrid w:val="0"/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1–А, 2–Б, 3–В, 4–Г, 5–Д</w:t>
            </w:r>
          </w:p>
        </w:tc>
      </w:tr>
      <w:tr w:rsidR="0077002C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Какое из перечисленных требований является основополагающим при ведении любой професси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нальной медицинской документации, независимо от используемого языка?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Максимальная краткость записей для экономии времени.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Возможность оперативной корректировки данных после оказания помощи.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Точность, полнота, объективность, своевременность и читаемость внесенных данных.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Использование только общепринятых медицинских аббревиатур без расшифровки.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21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Фельдшер сталкивается с необходимостью прочитать срочное медицинское заключение, написанное на иностранном языке, для оперативной оценки состояния пациента. Какой способ понимания содерж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ния будет наиболее надежным и безопасным?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Использование любого доступного онлайн-переводчика для быстрой оценки.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Полагаться на свои базовые знания иностранного языка и общий медицинский опыт.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Привлечь сертифицированного медицинского переводчика или коллегу с подтвержденным знанием медицинского языка для точной интерпретации.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Ориентироваться исключительно на числовые показатели (лабораторные анализы, витальные пар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метры), игнорируя текстовую часть.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Почему строгое соблюдение стандартов ведения медицинской документации, в том числе на гос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дарственном языке, является критически важным для фельдшера в рамках его профессиональной де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тельности?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Это требование, влияющее на размер заработной платы.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Это гарантирует юридическую защиту фельдшера, обеспечивает преемственность и качество мед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цинской помощи, а также является основой для научно-исследовательской работы.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Это делает процесс проверки документации более быстрым и менее трудозатратным для контрол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рующих органов.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Это помогает пациентам самостоятельно разбираться в своем диагнозе и лечении без дополнительных консультаций.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Какие действия фельдшера с документацией важны для обеспечения безопасности пациента и юр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дической защищенности персонала (отметьте все верные варианты)?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Ведение читаемых, полных и своевременных записей; фиксирование осложнений и вмешательств.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Б) Хранение и передача личных и медицинских данных пациента в соответствии с требованиями конф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денциальности и законодательства.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Уничтожение оригиналов рукописных записей после создания электронной копии, чтобы избежать дублирования информации.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Указание обоснований всех клинических решений и согласий пациента (или законного представит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ля) при выполнении манипуляций.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24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. При заполнении документации на иностранном языке (например, при передаче пациента в междун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B74AF6">
              <w:rPr>
                <w:rFonts w:ascii="Times New Roman" w:hAnsi="Times New Roman"/>
                <w:bCs/>
                <w:sz w:val="24"/>
                <w:szCs w:val="24"/>
              </w:rPr>
              <w:t>родный центр) корректными являются следующие подходы (отметьте все верные варианты):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Использование общепринятых международных терминов (латинских названий анатомии, междун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родных классификаций заболеваний) там, где это уместно.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Перевод только ключевых пунктов истории болезни и пропуск деталей, если времени мало.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Обеспечение точности перевода дозировок, единиц измерения и специфических указаний по технике манипуляции.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При отсутствии точного перевода оставить поля пустыми и устно объяснить коллегам значение зап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сей на приеме пациента.</w:t>
            </w:r>
          </w:p>
          <w:p w:rsidR="0077002C" w:rsidRPr="004628C6" w:rsidRDefault="00B74AF6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</w:tc>
      </w:tr>
      <w:tr w:rsidR="0077002C">
        <w:trPr>
          <w:trHeight w:val="20"/>
        </w:trPr>
        <w:tc>
          <w:tcPr>
            <w:tcW w:w="3794" w:type="dxa"/>
            <w:tcBorders>
              <w:top w:val="single" w:sz="4" w:space="0" w:color="auto"/>
            </w:tcBorders>
          </w:tcPr>
          <w:p w:rsidR="0077002C" w:rsidRDefault="00B74AF6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 2.2. Назначать и проводить лечение неосложненных острых заболеваний и (или) состояний, хронических заболеваний и их обострений, травм, отравлений</w:t>
            </w:r>
          </w:p>
        </w:tc>
        <w:tc>
          <w:tcPr>
            <w:tcW w:w="11056" w:type="dxa"/>
            <w:tcBorders>
              <w:top w:val="single" w:sz="4" w:space="0" w:color="auto"/>
            </w:tcBorders>
          </w:tcPr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После оказания фельдшерской помощи пациенту с травмой, какую информацию является наиболее важным внести в медицинскую документацию?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Только фамилию пациента и дату оказания помощи.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Только факт назначения обезболивающего средства.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Подробное описание состояния пациента до и после вмешательства, выполненные манипуляции, вв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денные препараты, дозы, реакцию пациента и данные о дальнейших рекомендациях/направлении.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Только время начала и окончания оказания помощи.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К фельдшеру обратился пациент с жалобами на насморк, небольшую боль в горле и температуру 37.2°C, которые появились вчера. Объективно: слизистая зева умеренно гиперемирована, выделения из носа слизистые, дыхание в легких везикулярное. Какая из следующих рекомендаций будет наиболее адекватной для фельдшера в данной ситуации, предполагая неосложненную ОРВИ?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Немедленно назначить курс антибиотиков широкого спектра действия.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Рекомендовать обильное теплое питье, полоскание горла антисептическими растворами, симптомат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ческие средства (например, спрей для носа) и наблюдение.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Вызвать скорую помощь для срочной госпитализации пациента в инфекционное отделение.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Назначить ингаляции с сильнодействующими гормональными препаратами.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Б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Фельдшер осматривает пациента с неглубоким резаным ранением пальца, из которого равномерно вытекает кровь алого цвета. Какое первоочередное действие фельдшера будет наиболее правильным для остановки кровотечения?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Наложить жгут на предплечье выше места ранения.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Приложить к ране холодный компресс без предварительной обработки.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Наложить асептическую повязку с прямым давлением на рану.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Промыть рану перекисью водорода и оставить открытой до полной остановки кровотечения.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В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Какие из нижеперечисленных действий фельдшера целесообразны при обработке и дальнейшем в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е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дении неглубокой резаной раны?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Оценить тяжесть раны, при необходимости обезболить (местная анестезия), при подозрении на п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вреждение глубоких структур — направить к хирургу.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Тщательно промыть рану проточной водой/физиологическим раствором, удалить видимые загрязн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ния и инородные тела.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Немедленно накладывать стерильный шов у всех пациентов без учёта характера раны.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Нанести антисептическое средство подходящего типа (учитывая противопоказания и аллергии), наложить стерильную повязку с прижимом при необходимости.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Уточнить анамнез по прививкам от столбняка; при отсутствии или неясном статусе — при необход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мости организовать ревакцинацию/вакцинацию согласно протоколу.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Г, Д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Какие меры управления и рекомендации в рамках фельдшерской помощи уместны при лёгком пищ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е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вом отравлении у взрослого пациента?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Оценить жизненно важные функции, артериальное давление и общее состояние, исключить признаки тяжёлого обезвоживания.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Б) Рекомендовать сорбенты (при отсутствии противопоказаний), при лёгких симптомах — постельный режим и лёгкая диета.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Немедленно назначить антибиотики широкого спектра при любом подозрении на пищевое отравл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ние.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При наличии рвоты/диареи — профилактически назначать инфузионную терапию всем пациентам в полевых условиях.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Дать советы по адекватной пероральной регидратации (регидрационные растворы, частые небольшие глотки) и при усилении симптомов — повторная оценка и направление к врачу.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Д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B74AF6">
            <w:pPr>
              <w:spacing w:after="0" w:line="2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77002C" w:rsidRDefault="0077002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77002C" w:rsidRDefault="004628C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74AF6">
              <w:rPr>
                <w:rFonts w:ascii="Times New Roman" w:hAnsi="Times New Roman"/>
                <w:sz w:val="24"/>
                <w:szCs w:val="24"/>
              </w:rPr>
              <w:t>. Установите правильную последовательность действий при оказании помощи пациенту 27 лет с рв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а</w:t>
            </w:r>
            <w:r w:rsidR="00B74AF6">
              <w:rPr>
                <w:rFonts w:ascii="Times New Roman" w:hAnsi="Times New Roman"/>
                <w:sz w:val="24"/>
                <w:szCs w:val="24"/>
              </w:rPr>
              <w:t>ной раной длиной 3 см, умеренным капиллярным кровотечением: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А) Провести первичную оценку и остановку кровотечения путём прямого давления; при необходимости приподнять конечность.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Б) Обработать кожу вокруг раны кожным антисептиком; промыть рану стерильным изотоническим ра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твором под умеренным давлением, удалить загрязнения.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Оценить глубину и края раны, риск инфекции, необходимость наложения швов/склеивания, пров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рить статус прививок от столбняка и аллергии.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Принять решение о закрытии раны: первичное сближение краёв (стерильные полоски/клей) при ч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стой неглубокой ране; при сомнениях — стерильная повязка и направление к врачу для швов.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Д) Нанести подходящее антисептическое средство, наложить стерильную повязку, дать рекомендации по уходу, признакам инфицирования и срокам перевязки/контроля; при отсутствии данных о вакцин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ции — организовать вакцинацию/ревакцинацию.</w:t>
            </w:r>
          </w:p>
          <w:p w:rsidR="0077002C" w:rsidRDefault="00B74AF6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</w:tc>
      </w:tr>
    </w:tbl>
    <w:p w:rsidR="0077002C" w:rsidRDefault="0077002C">
      <w:pPr>
        <w:suppressAutoHyphens/>
        <w:spacing w:after="0" w:line="240" w:lineRule="auto"/>
        <w:ind w:left="567" w:right="283"/>
        <w:rPr>
          <w:rFonts w:ascii="Times New Roman" w:hAnsi="Times New Roman"/>
          <w:b/>
          <w:sz w:val="28"/>
          <w:szCs w:val="28"/>
        </w:rPr>
      </w:pPr>
    </w:p>
    <w:p w:rsidR="0077002C" w:rsidRDefault="0077002C">
      <w:pPr>
        <w:suppressAutoHyphens/>
        <w:spacing w:after="0" w:line="240" w:lineRule="auto"/>
        <w:ind w:right="283"/>
        <w:jc w:val="both"/>
        <w:rPr>
          <w:rFonts w:ascii="Times New Roman" w:hAnsi="Times New Roman"/>
          <w:i/>
          <w:sz w:val="24"/>
          <w:szCs w:val="24"/>
        </w:rPr>
        <w:sectPr w:rsidR="0077002C">
          <w:pgSz w:w="16838" w:h="11906" w:orient="landscape"/>
          <w:pgMar w:top="993" w:right="1134" w:bottom="850" w:left="1134" w:header="708" w:footer="708" w:gutter="0"/>
          <w:cols w:space="708"/>
          <w:docGrid w:linePitch="360"/>
        </w:sectPr>
      </w:pPr>
    </w:p>
    <w:p w:rsidR="0077002C" w:rsidRDefault="0077002C">
      <w:pPr>
        <w:suppressAutoHyphens/>
        <w:spacing w:after="0" w:line="240" w:lineRule="auto"/>
        <w:ind w:left="720" w:right="283"/>
        <w:jc w:val="both"/>
        <w:rPr>
          <w:rFonts w:ascii="Times New Roman" w:hAnsi="Times New Roman"/>
          <w:bCs/>
          <w:sz w:val="24"/>
          <w:szCs w:val="24"/>
        </w:rPr>
      </w:pPr>
    </w:p>
    <w:sectPr w:rsidR="0077002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8B6" w:rsidRDefault="008D68B6">
      <w:pPr>
        <w:spacing w:line="240" w:lineRule="auto"/>
      </w:pPr>
      <w:r>
        <w:separator/>
      </w:r>
    </w:p>
  </w:endnote>
  <w:endnote w:type="continuationSeparator" w:id="0">
    <w:p w:rsidR="008D68B6" w:rsidRDefault="008D68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8B6" w:rsidRDefault="008D68B6">
      <w:pPr>
        <w:spacing w:after="0"/>
      </w:pPr>
      <w:r>
        <w:separator/>
      </w:r>
    </w:p>
  </w:footnote>
  <w:footnote w:type="continuationSeparator" w:id="0">
    <w:p w:rsidR="008D68B6" w:rsidRDefault="008D68B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24A5"/>
    <w:rsid w:val="00020EB9"/>
    <w:rsid w:val="00021E44"/>
    <w:rsid w:val="00023CF4"/>
    <w:rsid w:val="000548A4"/>
    <w:rsid w:val="00061E26"/>
    <w:rsid w:val="000656A9"/>
    <w:rsid w:val="00073548"/>
    <w:rsid w:val="000749A0"/>
    <w:rsid w:val="00076536"/>
    <w:rsid w:val="00085CF5"/>
    <w:rsid w:val="00093C63"/>
    <w:rsid w:val="000A1102"/>
    <w:rsid w:val="000A3926"/>
    <w:rsid w:val="000A6DE4"/>
    <w:rsid w:val="000C275D"/>
    <w:rsid w:val="000D7309"/>
    <w:rsid w:val="00116213"/>
    <w:rsid w:val="001268A6"/>
    <w:rsid w:val="00126D13"/>
    <w:rsid w:val="001316E4"/>
    <w:rsid w:val="00132930"/>
    <w:rsid w:val="0013304E"/>
    <w:rsid w:val="00156A58"/>
    <w:rsid w:val="00167F87"/>
    <w:rsid w:val="001711C6"/>
    <w:rsid w:val="001738E7"/>
    <w:rsid w:val="001830D6"/>
    <w:rsid w:val="001C0083"/>
    <w:rsid w:val="001C4DC7"/>
    <w:rsid w:val="001C70C6"/>
    <w:rsid w:val="001D0355"/>
    <w:rsid w:val="001D0C6B"/>
    <w:rsid w:val="001D37ED"/>
    <w:rsid w:val="001D6947"/>
    <w:rsid w:val="001E25FB"/>
    <w:rsid w:val="00223FD7"/>
    <w:rsid w:val="00225C21"/>
    <w:rsid w:val="00241502"/>
    <w:rsid w:val="00244241"/>
    <w:rsid w:val="00250F65"/>
    <w:rsid w:val="002552A7"/>
    <w:rsid w:val="00260E01"/>
    <w:rsid w:val="00264899"/>
    <w:rsid w:val="00266D96"/>
    <w:rsid w:val="00277A63"/>
    <w:rsid w:val="00281EC8"/>
    <w:rsid w:val="002856C6"/>
    <w:rsid w:val="0029180D"/>
    <w:rsid w:val="00292C56"/>
    <w:rsid w:val="002A097C"/>
    <w:rsid w:val="002A2457"/>
    <w:rsid w:val="002B1807"/>
    <w:rsid w:val="002B36FD"/>
    <w:rsid w:val="002B45F3"/>
    <w:rsid w:val="002C6889"/>
    <w:rsid w:val="002D52F6"/>
    <w:rsid w:val="002D5CE1"/>
    <w:rsid w:val="002E3E6D"/>
    <w:rsid w:val="002F43BB"/>
    <w:rsid w:val="002F7004"/>
    <w:rsid w:val="00304801"/>
    <w:rsid w:val="00305A16"/>
    <w:rsid w:val="003062EA"/>
    <w:rsid w:val="0031738C"/>
    <w:rsid w:val="0032323F"/>
    <w:rsid w:val="00324D59"/>
    <w:rsid w:val="00325445"/>
    <w:rsid w:val="003272A3"/>
    <w:rsid w:val="00327CAD"/>
    <w:rsid w:val="00332D49"/>
    <w:rsid w:val="00341C70"/>
    <w:rsid w:val="00347EE7"/>
    <w:rsid w:val="0035418F"/>
    <w:rsid w:val="0035799B"/>
    <w:rsid w:val="00373713"/>
    <w:rsid w:val="00373A3E"/>
    <w:rsid w:val="00373D3E"/>
    <w:rsid w:val="003869ED"/>
    <w:rsid w:val="003A0884"/>
    <w:rsid w:val="003A5BDD"/>
    <w:rsid w:val="003E3FA3"/>
    <w:rsid w:val="003E6156"/>
    <w:rsid w:val="003F49B5"/>
    <w:rsid w:val="0044430A"/>
    <w:rsid w:val="004443EA"/>
    <w:rsid w:val="004628C6"/>
    <w:rsid w:val="00480DD2"/>
    <w:rsid w:val="00481D8B"/>
    <w:rsid w:val="00492DB8"/>
    <w:rsid w:val="004B3487"/>
    <w:rsid w:val="004B3657"/>
    <w:rsid w:val="004B6DA4"/>
    <w:rsid w:val="004C5510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26C89"/>
    <w:rsid w:val="005600D8"/>
    <w:rsid w:val="00561F79"/>
    <w:rsid w:val="0056220A"/>
    <w:rsid w:val="005673ED"/>
    <w:rsid w:val="005677D7"/>
    <w:rsid w:val="005B3717"/>
    <w:rsid w:val="005B6E41"/>
    <w:rsid w:val="005C4291"/>
    <w:rsid w:val="005D3C2F"/>
    <w:rsid w:val="005D742E"/>
    <w:rsid w:val="005E18C8"/>
    <w:rsid w:val="005F70F0"/>
    <w:rsid w:val="006106D4"/>
    <w:rsid w:val="00610EFA"/>
    <w:rsid w:val="006132E6"/>
    <w:rsid w:val="006137A9"/>
    <w:rsid w:val="00621985"/>
    <w:rsid w:val="00631431"/>
    <w:rsid w:val="00634B4D"/>
    <w:rsid w:val="00640DA3"/>
    <w:rsid w:val="00650508"/>
    <w:rsid w:val="0065528D"/>
    <w:rsid w:val="00660777"/>
    <w:rsid w:val="0069322F"/>
    <w:rsid w:val="006A4758"/>
    <w:rsid w:val="006B656D"/>
    <w:rsid w:val="006C48DD"/>
    <w:rsid w:val="006D1563"/>
    <w:rsid w:val="006D6CA4"/>
    <w:rsid w:val="006E271C"/>
    <w:rsid w:val="006F5644"/>
    <w:rsid w:val="0070363D"/>
    <w:rsid w:val="00706F2C"/>
    <w:rsid w:val="0071644D"/>
    <w:rsid w:val="0071684A"/>
    <w:rsid w:val="00716CA5"/>
    <w:rsid w:val="00716F95"/>
    <w:rsid w:val="00717FDF"/>
    <w:rsid w:val="00727852"/>
    <w:rsid w:val="00734CEA"/>
    <w:rsid w:val="00762BF6"/>
    <w:rsid w:val="00764264"/>
    <w:rsid w:val="007653A6"/>
    <w:rsid w:val="0076715C"/>
    <w:rsid w:val="0076778B"/>
    <w:rsid w:val="0077002C"/>
    <w:rsid w:val="00774A12"/>
    <w:rsid w:val="0078636F"/>
    <w:rsid w:val="007931AE"/>
    <w:rsid w:val="007933EE"/>
    <w:rsid w:val="007B0AD4"/>
    <w:rsid w:val="007D6FD0"/>
    <w:rsid w:val="007E4E46"/>
    <w:rsid w:val="007F1AC9"/>
    <w:rsid w:val="007F65EA"/>
    <w:rsid w:val="00806E80"/>
    <w:rsid w:val="00813B0B"/>
    <w:rsid w:val="00837575"/>
    <w:rsid w:val="0084611A"/>
    <w:rsid w:val="008519ED"/>
    <w:rsid w:val="00853550"/>
    <w:rsid w:val="00857F16"/>
    <w:rsid w:val="00872A31"/>
    <w:rsid w:val="008824BF"/>
    <w:rsid w:val="00884B4E"/>
    <w:rsid w:val="008B1A34"/>
    <w:rsid w:val="008B5FEC"/>
    <w:rsid w:val="008B6EF6"/>
    <w:rsid w:val="008C7DAD"/>
    <w:rsid w:val="008D68B6"/>
    <w:rsid w:val="009069CC"/>
    <w:rsid w:val="00910366"/>
    <w:rsid w:val="00913BB7"/>
    <w:rsid w:val="00913C95"/>
    <w:rsid w:val="009178BE"/>
    <w:rsid w:val="0092085F"/>
    <w:rsid w:val="00933852"/>
    <w:rsid w:val="00933D51"/>
    <w:rsid w:val="00936B94"/>
    <w:rsid w:val="00985537"/>
    <w:rsid w:val="009856B3"/>
    <w:rsid w:val="009A38EE"/>
    <w:rsid w:val="009A3D03"/>
    <w:rsid w:val="009B34FB"/>
    <w:rsid w:val="009B4A43"/>
    <w:rsid w:val="009B50E4"/>
    <w:rsid w:val="009C019D"/>
    <w:rsid w:val="009C0571"/>
    <w:rsid w:val="009E49C2"/>
    <w:rsid w:val="00A46251"/>
    <w:rsid w:val="00A5156F"/>
    <w:rsid w:val="00A620F4"/>
    <w:rsid w:val="00A70460"/>
    <w:rsid w:val="00A80BFB"/>
    <w:rsid w:val="00A84635"/>
    <w:rsid w:val="00A91685"/>
    <w:rsid w:val="00AA4AB2"/>
    <w:rsid w:val="00AA599B"/>
    <w:rsid w:val="00AD3231"/>
    <w:rsid w:val="00AE0186"/>
    <w:rsid w:val="00AF70FA"/>
    <w:rsid w:val="00B00F0F"/>
    <w:rsid w:val="00B1305E"/>
    <w:rsid w:val="00B13810"/>
    <w:rsid w:val="00B15C00"/>
    <w:rsid w:val="00B16606"/>
    <w:rsid w:val="00B375A4"/>
    <w:rsid w:val="00B45D22"/>
    <w:rsid w:val="00B510EF"/>
    <w:rsid w:val="00B51D00"/>
    <w:rsid w:val="00B56616"/>
    <w:rsid w:val="00B6338D"/>
    <w:rsid w:val="00B65297"/>
    <w:rsid w:val="00B74AF6"/>
    <w:rsid w:val="00B85EAA"/>
    <w:rsid w:val="00B96B4C"/>
    <w:rsid w:val="00B9729D"/>
    <w:rsid w:val="00BA3E90"/>
    <w:rsid w:val="00BB733C"/>
    <w:rsid w:val="00BD286A"/>
    <w:rsid w:val="00BE5D6D"/>
    <w:rsid w:val="00BE61FA"/>
    <w:rsid w:val="00C05718"/>
    <w:rsid w:val="00C05DC6"/>
    <w:rsid w:val="00C10AD0"/>
    <w:rsid w:val="00C1184A"/>
    <w:rsid w:val="00C147BE"/>
    <w:rsid w:val="00C22C49"/>
    <w:rsid w:val="00C5689E"/>
    <w:rsid w:val="00C64B39"/>
    <w:rsid w:val="00CA10A9"/>
    <w:rsid w:val="00CA4B04"/>
    <w:rsid w:val="00CB0ACC"/>
    <w:rsid w:val="00CB2514"/>
    <w:rsid w:val="00CB6C7A"/>
    <w:rsid w:val="00CC4458"/>
    <w:rsid w:val="00CD3164"/>
    <w:rsid w:val="00CD3715"/>
    <w:rsid w:val="00CE4FB0"/>
    <w:rsid w:val="00CE5A57"/>
    <w:rsid w:val="00CF02CE"/>
    <w:rsid w:val="00D06C94"/>
    <w:rsid w:val="00D12D8C"/>
    <w:rsid w:val="00D17F5D"/>
    <w:rsid w:val="00D42A89"/>
    <w:rsid w:val="00D45208"/>
    <w:rsid w:val="00D46E19"/>
    <w:rsid w:val="00D645F1"/>
    <w:rsid w:val="00D84F75"/>
    <w:rsid w:val="00D87700"/>
    <w:rsid w:val="00D905B6"/>
    <w:rsid w:val="00D92267"/>
    <w:rsid w:val="00D93C9D"/>
    <w:rsid w:val="00D940E7"/>
    <w:rsid w:val="00DA6CE3"/>
    <w:rsid w:val="00DD24E6"/>
    <w:rsid w:val="00DE7647"/>
    <w:rsid w:val="00E51D51"/>
    <w:rsid w:val="00E655B2"/>
    <w:rsid w:val="00E718E0"/>
    <w:rsid w:val="00E749A4"/>
    <w:rsid w:val="00E8376D"/>
    <w:rsid w:val="00EB548A"/>
    <w:rsid w:val="00EC171B"/>
    <w:rsid w:val="00ED32F4"/>
    <w:rsid w:val="00EE197E"/>
    <w:rsid w:val="00EE2A55"/>
    <w:rsid w:val="00EF364A"/>
    <w:rsid w:val="00F11F8C"/>
    <w:rsid w:val="00F13482"/>
    <w:rsid w:val="00F23271"/>
    <w:rsid w:val="00F33798"/>
    <w:rsid w:val="00F61FAC"/>
    <w:rsid w:val="00F70701"/>
    <w:rsid w:val="00F77587"/>
    <w:rsid w:val="00F95AE1"/>
    <w:rsid w:val="00FA6169"/>
    <w:rsid w:val="00FC3063"/>
    <w:rsid w:val="00FC36A0"/>
    <w:rsid w:val="00FD43C2"/>
    <w:rsid w:val="00FE283C"/>
    <w:rsid w:val="00FF6CAB"/>
    <w:rsid w:val="00FF7023"/>
    <w:rsid w:val="03C73C40"/>
    <w:rsid w:val="08557237"/>
    <w:rsid w:val="0ABB60D2"/>
    <w:rsid w:val="18E67566"/>
    <w:rsid w:val="3168109A"/>
    <w:rsid w:val="473906E7"/>
    <w:rsid w:val="4C862E17"/>
    <w:rsid w:val="4EBE17BD"/>
    <w:rsid w:val="789C3F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DengXi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qFormat="1"/>
    <w:lsdException w:name="Balloon Text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7">
    <w:name w:val="Plain Text"/>
    <w:basedOn w:val="a"/>
    <w:link w:val="a8"/>
    <w:uiPriority w:val="99"/>
    <w:unhideWhenUsed/>
    <w:pPr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a9">
    <w:name w:val="Body Text"/>
    <w:basedOn w:val="a"/>
    <w:link w:val="a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zh-CN" w:eastAsia="zh-CN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Основной текст Знак"/>
    <w:link w:val="a9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e">
    <w:name w:val="No Spacing"/>
    <w:uiPriority w:val="1"/>
    <w:qFormat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qFormat/>
  </w:style>
  <w:style w:type="character" w:customStyle="1" w:styleId="c5">
    <w:name w:val="c5"/>
  </w:style>
  <w:style w:type="character" w:customStyle="1" w:styleId="c8">
    <w:name w:val="c8"/>
    <w:qFormat/>
  </w:style>
  <w:style w:type="paragraph" w:customStyle="1" w:styleId="Default">
    <w:name w:val="Default"/>
    <w:qFormat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a6">
    <w:name w:val="Текст выноски Знак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</w:style>
  <w:style w:type="character" w:customStyle="1" w:styleId="mord">
    <w:name w:val="mord"/>
    <w:qFormat/>
  </w:style>
  <w:style w:type="character" w:customStyle="1" w:styleId="mrel">
    <w:name w:val="mrel"/>
    <w:qFormat/>
  </w:style>
  <w:style w:type="character" w:customStyle="1" w:styleId="mbin">
    <w:name w:val="mbin"/>
  </w:style>
  <w:style w:type="character" w:customStyle="1" w:styleId="a8">
    <w:name w:val="Текст Знак"/>
    <w:link w:val="a7"/>
    <w:uiPriority w:val="99"/>
    <w:rPr>
      <w:rFonts w:ascii="Consolas" w:hAnsi="Consolas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DengXi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/>
    <w:lsdException w:name="Normal (Web)" w:semiHidden="0" w:qFormat="1"/>
    <w:lsdException w:name="Balloon Text" w:qFormat="1"/>
    <w:lsdException w:name="Table Grid" w:uiPriority="39" w:qFormat="1"/>
    <w:lsdException w:name="Placeholder Text" w:unhideWhenUsed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zh-CN"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qFormat/>
    <w:rPr>
      <w:color w:val="0000FF"/>
      <w:u w:val="single"/>
    </w:rPr>
  </w:style>
  <w:style w:type="character" w:styleId="a4">
    <w:name w:val="Strong"/>
    <w:uiPriority w:val="22"/>
    <w:qFormat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/>
      <w:sz w:val="16"/>
      <w:szCs w:val="16"/>
      <w:lang w:val="zh-CN"/>
    </w:rPr>
  </w:style>
  <w:style w:type="paragraph" w:styleId="a7">
    <w:name w:val="Plain Text"/>
    <w:basedOn w:val="a"/>
    <w:link w:val="a8"/>
    <w:uiPriority w:val="99"/>
    <w:unhideWhenUsed/>
    <w:pPr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a9">
    <w:name w:val="Body Text"/>
    <w:basedOn w:val="a"/>
    <w:link w:val="aa"/>
    <w:uiPriority w:val="1"/>
    <w:qFormat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zh-CN" w:eastAsia="zh-CN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pPr>
      <w:ind w:left="720"/>
      <w:contextualSpacing/>
    </w:pPr>
  </w:style>
  <w:style w:type="character" w:customStyle="1" w:styleId="10">
    <w:name w:val="Заголовок 1 Знак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Основной текст Знак"/>
    <w:link w:val="a9"/>
    <w:uiPriority w:val="1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paragraph" w:styleId="ae">
    <w:name w:val="No Spacing"/>
    <w:uiPriority w:val="1"/>
    <w:qFormat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qFormat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qFormat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qFormat/>
  </w:style>
  <w:style w:type="character" w:customStyle="1" w:styleId="c5">
    <w:name w:val="c5"/>
  </w:style>
  <w:style w:type="character" w:customStyle="1" w:styleId="c8">
    <w:name w:val="c8"/>
    <w:qFormat/>
  </w:style>
  <w:style w:type="paragraph" w:customStyle="1" w:styleId="Default">
    <w:name w:val="Default"/>
    <w:qFormat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customStyle="1" w:styleId="a6">
    <w:name w:val="Текст выноски Знак"/>
    <w:link w:val="a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qFormat/>
  </w:style>
  <w:style w:type="character" w:customStyle="1" w:styleId="mord">
    <w:name w:val="mord"/>
    <w:qFormat/>
  </w:style>
  <w:style w:type="character" w:customStyle="1" w:styleId="mrel">
    <w:name w:val="mrel"/>
    <w:qFormat/>
  </w:style>
  <w:style w:type="character" w:customStyle="1" w:styleId="mbin">
    <w:name w:val="mbin"/>
  </w:style>
  <w:style w:type="character" w:customStyle="1" w:styleId="a8">
    <w:name w:val="Текст Знак"/>
    <w:link w:val="a7"/>
    <w:uiPriority w:val="99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8BC4CC-4435-4796-AD43-FB396770D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25</Pages>
  <Words>6419</Words>
  <Characters>36594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Чабанец Елена Алексеевна</cp:lastModifiedBy>
  <cp:revision>27</cp:revision>
  <cp:lastPrinted>2025-10-03T08:00:00Z</cp:lastPrinted>
  <dcterms:created xsi:type="dcterms:W3CDTF">2026-01-28T11:54:00Z</dcterms:created>
  <dcterms:modified xsi:type="dcterms:W3CDTF">2026-03-26T08:55:00Z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E2FC1A91DE804C44B598F7FB705F9E79_12</vt:lpwstr>
  </property>
</Properties>
</file>